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Registre des Fournisseurs / Return on Investment (REG-04)</w:t>
      </w:r>
    </w:p>
    <w:p>
      <w:r>
        <w:t>Entreprise : OptiValue.ai</w:t>
        <w:br/>
        <w:t>Version : 1.0</w:t>
        <w:br/>
        <w:t>Date : 03/09/2025</w:t>
        <w:br/>
        <w:t>Auteur : Département Achats, Éthique &amp; Conformité</w:t>
        <w:br/>
        <w:br/>
      </w:r>
    </w:p>
    <w:p>
      <w:pPr>
        <w:pStyle w:val="Heading2"/>
      </w:pPr>
      <w:r>
        <w:t>Introduction</w:t>
      </w:r>
    </w:p>
    <w:p>
      <w:r>
        <w:t>Ce registre centralise les informations critiques liées aux fournisseurs et sous-traitants d’OptiValue.ai. Il inclut des fiches détaillées par fournisseur intégrant : services fournis, niveau de criticité, données impliquées, localisation, clauses contractuelles (SLA), résultats des audits et tests, ainsi que les plans de fin de contrat. Ce registre permet un pilotage optimisé des relations fournisseurs et une visibilité complète sur le retour sur investissement (RoI).</w:t>
      </w:r>
    </w:p>
    <w:p>
      <w:pPr>
        <w:pStyle w:val="Heading2"/>
      </w:pPr>
      <w:r>
        <w:t>1. Gouvernance</w:t>
      </w:r>
    </w:p>
    <w:p>
      <w:r>
        <w:t>• Supervision par le Département Achats et le Comité Éthique et Conformité.</w:t>
        <w:br/>
        <w:t>• Mise à jour trimestrielle avec validation par le Chief Compliance Officer (CCO).</w:t>
        <w:br/>
        <w:t>• Intégration des résultats d’audit et des tests de performance.</w:t>
        <w:br/>
        <w:t>• Automatisation et suivi via ComplianceHub.ai pour une visibilité en temps réel.</w:t>
      </w:r>
    </w:p>
    <w:p>
      <w:pPr>
        <w:pStyle w:val="Heading2"/>
      </w:pPr>
      <w:r>
        <w:t>2. Fiches par Fournisseur</w:t>
      </w:r>
    </w:p>
    <w:p>
      <w:pPr>
        <w:pStyle w:val="Heading3"/>
      </w:pPr>
      <w:r>
        <w:t>Fiche Fournisseur : GreenSupply Asia (F-001)</w:t>
      </w:r>
    </w:p>
    <w:p>
      <w:r>
        <w:t>**Service fourni :** Fabrication électronique durable</w:t>
      </w:r>
    </w:p>
    <w:p>
      <w:r>
        <w:t>**Niveau de criticité :** Élevée</w:t>
      </w:r>
    </w:p>
    <w:p>
      <w:r>
        <w:t>**Données impliquées :** Plans de conception, données clients non personnelles</w:t>
      </w:r>
    </w:p>
    <w:p>
      <w:r>
        <w:t>**Localisation :** Vietnam</w:t>
      </w:r>
    </w:p>
    <w:p>
      <w:r>
        <w:t>**Clauses et SLA :** SLA strict, certification ISO 14001 et SA8000, clauses éthiques et anti-corruption</w:t>
      </w:r>
    </w:p>
    <w:p>
      <w:r>
        <w:t>**Résultats des tests &amp; audits :** Audit social Q2 2025 : conformité partielle (actions correctives en cours)</w:t>
      </w:r>
    </w:p>
    <w:p>
      <w:r>
        <w:t>**Plan de fin de contrat :** Transfert de propriété intellectuelle, audit de clôture, destruction sécurisée des données.</w:t>
        <w:br/>
      </w:r>
    </w:p>
    <w:p>
      <w:pPr>
        <w:pStyle w:val="Heading3"/>
      </w:pPr>
      <w:r>
        <w:t>Fiche Fournisseur : DataCloud Europe (F-002)</w:t>
      </w:r>
    </w:p>
    <w:p>
      <w:r>
        <w:t>**Service fourni :** Hébergement Cloud sécurisé</w:t>
      </w:r>
    </w:p>
    <w:p>
      <w:r>
        <w:t>**Niveau de criticité :** Moyenne</w:t>
      </w:r>
    </w:p>
    <w:p>
      <w:r>
        <w:t>**Données impliquées :** Données sensibles (pseudonymisées), logs systèmes</w:t>
      </w:r>
    </w:p>
    <w:p>
      <w:r>
        <w:t>**Localisation :** France (Paris, Lyon)</w:t>
      </w:r>
    </w:p>
    <w:p>
      <w:r>
        <w:t>**Clauses et SLA :** SLA avec redondance 99,99%, conformité ISO 27001, clauses RGPD</w:t>
      </w:r>
    </w:p>
    <w:p>
      <w:r>
        <w:t>**Résultats des tests &amp; audits :** Audit technique Q1 2025 : conformité totale, tests de résilience réussis.</w:t>
      </w:r>
    </w:p>
    <w:p>
      <w:r>
        <w:t>**Plan de fin de contrat :** Migration assistée des données, certificat de suppression définitive, rapport d’audit final.</w:t>
        <w:br/>
      </w:r>
    </w:p>
    <w:p>
      <w:pPr>
        <w:pStyle w:val="Heading3"/>
      </w:pPr>
      <w:r>
        <w:t>Fiche Fournisseur : AICompute Labs (F-003)</w:t>
      </w:r>
    </w:p>
    <w:p>
      <w:r>
        <w:t>**Service fourni :** Infrastructure GPU et solutions IA</w:t>
      </w:r>
    </w:p>
    <w:p>
      <w:r>
        <w:t>**Niveau de criticité :** Élevée</w:t>
      </w:r>
    </w:p>
    <w:p>
      <w:r>
        <w:t>**Données impliquées :** Données d’entraînement IA, données pseudonymisées, logs d’apprentissage</w:t>
      </w:r>
    </w:p>
    <w:p>
      <w:r>
        <w:t>**Localisation :** États-Unis (Californie, Oregon)</w:t>
      </w:r>
    </w:p>
    <w:p>
      <w:r>
        <w:t>**Clauses et SLA :** Clauses contractuelles types (SCC), audits de sécurité trimestriels, conformité AI Act</w:t>
      </w:r>
    </w:p>
    <w:p>
      <w:r>
        <w:t>**Résultats des tests &amp; audits :** Audit sécurité Q2 2025 : 2 écarts mineurs corrigés, surveillance renforcée en place.</w:t>
      </w:r>
    </w:p>
    <w:p>
      <w:r>
        <w:t>**Plan de fin de contrat :** Transfert de données critiques, révocation des accès API, audit final de conformité.</w:t>
        <w:br/>
      </w:r>
    </w:p>
    <w:p>
      <w:pPr>
        <w:pStyle w:val="Heading3"/>
      </w:pPr>
      <w:r>
        <w:t>Fiche Fournisseur : EcoPackaging Ltd (F-004)</w:t>
      </w:r>
    </w:p>
    <w:p>
      <w:r>
        <w:t>**Service fourni :** Fourniture de packaging durable</w:t>
      </w:r>
    </w:p>
    <w:p>
      <w:r>
        <w:t>**Niveau de criticité :** Faible</w:t>
      </w:r>
    </w:p>
    <w:p>
      <w:r>
        <w:t>**Données impliquées :** Données commerciales de commandes uniquement</w:t>
      </w:r>
    </w:p>
    <w:p>
      <w:r>
        <w:t>**Localisation :** Allemagne (Berlin)</w:t>
      </w:r>
    </w:p>
    <w:p>
      <w:r>
        <w:t>**Clauses et SLA :** SLA basique, certification FSC, ISO 14001, audit environnemental annuel</w:t>
      </w:r>
    </w:p>
    <w:p>
      <w:r>
        <w:t>**Résultats des tests &amp; audits :** Audit environnemental Q3 2024 : conformité totale.</w:t>
      </w:r>
    </w:p>
    <w:p>
      <w:r>
        <w:t>**Plan de fin de contrat :** Inventaire des commandes en cours, clôture administrative, communication partenaires.</w:t>
        <w:br/>
      </w:r>
    </w:p>
    <w:p>
      <w:pPr>
        <w:pStyle w:val="Heading3"/>
      </w:pPr>
      <w:r>
        <w:t>Fiche Fournisseur : TechLegal Advisors (F-005)</w:t>
      </w:r>
    </w:p>
    <w:p>
      <w:r>
        <w:t>**Service fourni :** Support juridique en conformité</w:t>
      </w:r>
    </w:p>
    <w:p>
      <w:r>
        <w:t>**Niveau de criticité :** Moyenne</w:t>
      </w:r>
    </w:p>
    <w:p>
      <w:r>
        <w:t>**Données impliquées :** Données contractuelles et documentation légale</w:t>
      </w:r>
    </w:p>
    <w:p>
      <w:r>
        <w:t>**Localisation :** Luxembourg</w:t>
      </w:r>
    </w:p>
    <w:p>
      <w:r>
        <w:t>**Clauses et SLA :** SLA avec confidentialité renforcée, ISO 27701, audit de conformité annuel</w:t>
      </w:r>
    </w:p>
    <w:p>
      <w:r>
        <w:t>**Résultats des tests &amp; audits :** Audit juridique Q2 2025 : conformité à 100%.</w:t>
      </w:r>
    </w:p>
    <w:p>
      <w:r>
        <w:t>**Plan de fin de contrat :** Archivage sécurisé des dossiers, transfert des comptes-clients, clôture contractuelle.</w:t>
        <w:br/>
      </w:r>
    </w:p>
    <w:p>
      <w:pPr>
        <w:pStyle w:val="Heading2"/>
      </w:pPr>
      <w:r>
        <w:t>3. Automatisation et Suivi</w:t>
      </w:r>
    </w:p>
    <w:p>
      <w:r>
        <w:t>• Mise à jour automatisée des données critiques via ComplianceHub.ai.</w:t>
        <w:br/>
        <w:t>• Tableaux de bord dynamiques avec scoring RoI et suivi de conformité en temps réel.</w:t>
        <w:br/>
        <w:t>• Alertes automatiques en cas de dérive ou de non-conformité.</w:t>
        <w:br/>
        <w:t>• Intégration des résultats dans le reporting trimestriel ESG et conformité.</w:t>
      </w:r>
    </w:p>
    <w:p>
      <w:pPr>
        <w:pStyle w:val="Heading2"/>
      </w:pPr>
      <w:r>
        <w:t>4. Annexes</w:t>
      </w:r>
    </w:p>
    <w:p>
      <w:r>
        <w:t>• Modèle de fiche fournisseur standardisée.</w:t>
        <w:br/>
        <w:t>• Matrice de criticité.</w:t>
        <w:br/>
        <w:t>• Historique des audits et plans de remédiation.</w:t>
        <w:br/>
        <w:t>• Documentation sur la fin de contrat et transfert des responsabilités.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