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Cartographie des Risques Tiers</w:t>
      </w:r>
    </w:p>
    <w:p>
      <w:r>
        <w:t>Entreprise : OptiValue.ai</w:t>
        <w:br/>
        <w:t>Version : 1.0</w:t>
        <w:br/>
        <w:t>Date : 03/09/2025</w:t>
        <w:br/>
        <w:t>Auteur : Département Conformité &amp; Gestion des Risques</w:t>
        <w:br/>
        <w:br/>
      </w:r>
    </w:p>
    <w:p>
      <w:pPr>
        <w:pStyle w:val="Heading2"/>
      </w:pPr>
      <w:r>
        <w:t>Introduction</w:t>
      </w:r>
    </w:p>
    <w:p>
      <w:r>
        <w:t>Cette cartographie des risques tiers fournit une vue consolidée des risques associés aux fournisseurs et partenaires d’OptiValue.ai. Elle prend en compte les risques **cyber**, **conformité réglementaire**, **durabilité (ESG)**, **réputation**, et **continuité opérationnelle**. Elle permet de piloter efficacement la gestion des risques et de prioriser les actions de remédiation.</w:t>
      </w:r>
    </w:p>
    <w:p>
      <w:pPr>
        <w:pStyle w:val="Heading2"/>
      </w:pPr>
      <w:r>
        <w:t>1. Gouvernance</w:t>
      </w:r>
    </w:p>
    <w:p>
      <w:r>
        <w:t>• Supervision par le Chief Compliance Officer (CCO) et le Comité des Risques.</w:t>
        <w:br/>
        <w:t>• Mise à jour trimestrielle via ComplianceHub.ai.</w:t>
        <w:br/>
        <w:t>• Audits externes annuels pour vérification et certification de la méthodologie.</w:t>
        <w:br/>
      </w:r>
    </w:p>
    <w:p>
      <w:pPr>
        <w:pStyle w:val="Heading2"/>
      </w:pPr>
      <w:r>
        <w:t>2. Synthèse des Risques par Fournisseur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234"/>
        <w:gridCol w:w="1234"/>
        <w:gridCol w:w="1234"/>
        <w:gridCol w:w="1234"/>
        <w:gridCol w:w="1234"/>
        <w:gridCol w:w="1234"/>
        <w:gridCol w:w="1234"/>
      </w:tblGrid>
      <w:tr>
        <w:tc>
          <w:tcPr>
            <w:tcW w:type="dxa" w:w="1234"/>
          </w:tcPr>
          <w:p>
            <w:r>
              <w:t>ID Fournisseur</w:t>
            </w:r>
          </w:p>
        </w:tc>
        <w:tc>
          <w:tcPr>
            <w:tcW w:type="dxa" w:w="1234"/>
          </w:tcPr>
          <w:p>
            <w:r>
              <w:t>Nom</w:t>
            </w:r>
          </w:p>
        </w:tc>
        <w:tc>
          <w:tcPr>
            <w:tcW w:type="dxa" w:w="1234"/>
          </w:tcPr>
          <w:p>
            <w:r>
              <w:t>Cyber</w:t>
            </w:r>
          </w:p>
        </w:tc>
        <w:tc>
          <w:tcPr>
            <w:tcW w:type="dxa" w:w="1234"/>
          </w:tcPr>
          <w:p>
            <w:r>
              <w:t>Conformité</w:t>
            </w:r>
          </w:p>
        </w:tc>
        <w:tc>
          <w:tcPr>
            <w:tcW w:type="dxa" w:w="1234"/>
          </w:tcPr>
          <w:p>
            <w:r>
              <w:t>Durabilité</w:t>
            </w:r>
          </w:p>
        </w:tc>
        <w:tc>
          <w:tcPr>
            <w:tcW w:type="dxa" w:w="1234"/>
          </w:tcPr>
          <w:p>
            <w:r>
              <w:t>Réputation</w:t>
            </w:r>
          </w:p>
        </w:tc>
        <w:tc>
          <w:tcPr>
            <w:tcW w:type="dxa" w:w="1234"/>
          </w:tcPr>
          <w:p>
            <w:r>
              <w:t>Continuité</w:t>
            </w:r>
          </w:p>
        </w:tc>
      </w:tr>
      <w:tr>
        <w:tc>
          <w:tcPr>
            <w:tcW w:type="dxa" w:w="1234"/>
          </w:tcPr>
          <w:p>
            <w:r>
              <w:t>F-001</w:t>
            </w:r>
          </w:p>
        </w:tc>
        <w:tc>
          <w:tcPr>
            <w:tcW w:type="dxa" w:w="1234"/>
          </w:tcPr>
          <w:p>
            <w:r>
              <w:t>GreenSupply Asia</w:t>
            </w:r>
          </w:p>
        </w:tc>
        <w:tc>
          <w:tcPr>
            <w:tcW w:type="dxa" w:w="1234"/>
          </w:tcPr>
          <w:p>
            <w:r>
              <w:t>Moyen</w:t>
            </w:r>
          </w:p>
        </w:tc>
        <w:tc>
          <w:tcPr>
            <w:tcW w:type="dxa" w:w="1234"/>
          </w:tcPr>
          <w:p>
            <w:r>
              <w:t>Élevé</w:t>
            </w:r>
          </w:p>
        </w:tc>
        <w:tc>
          <w:tcPr>
            <w:tcW w:type="dxa" w:w="1234"/>
          </w:tcPr>
          <w:p>
            <w:r>
              <w:t>Moyen</w:t>
            </w:r>
          </w:p>
        </w:tc>
        <w:tc>
          <w:tcPr>
            <w:tcW w:type="dxa" w:w="1234"/>
          </w:tcPr>
          <w:p>
            <w:r>
              <w:t>Moyen</w:t>
            </w:r>
          </w:p>
        </w:tc>
        <w:tc>
          <w:tcPr>
            <w:tcW w:type="dxa" w:w="1234"/>
          </w:tcPr>
          <w:p>
            <w:r>
              <w:t>Élevé</w:t>
            </w:r>
          </w:p>
        </w:tc>
      </w:tr>
      <w:tr>
        <w:tc>
          <w:tcPr>
            <w:tcW w:type="dxa" w:w="1234"/>
          </w:tcPr>
          <w:p>
            <w:r>
              <w:t>F-002</w:t>
            </w:r>
          </w:p>
        </w:tc>
        <w:tc>
          <w:tcPr>
            <w:tcW w:type="dxa" w:w="1234"/>
          </w:tcPr>
          <w:p>
            <w:r>
              <w:t>DataCloud Europe</w:t>
            </w:r>
          </w:p>
        </w:tc>
        <w:tc>
          <w:tcPr>
            <w:tcW w:type="dxa" w:w="1234"/>
          </w:tcPr>
          <w:p>
            <w:r>
              <w:t>Faible</w:t>
            </w:r>
          </w:p>
        </w:tc>
        <w:tc>
          <w:tcPr>
            <w:tcW w:type="dxa" w:w="1234"/>
          </w:tcPr>
          <w:p>
            <w:r>
              <w:t>Moyen</w:t>
            </w:r>
          </w:p>
        </w:tc>
        <w:tc>
          <w:tcPr>
            <w:tcW w:type="dxa" w:w="1234"/>
          </w:tcPr>
          <w:p>
            <w:r>
              <w:t>Faible</w:t>
            </w:r>
          </w:p>
        </w:tc>
        <w:tc>
          <w:tcPr>
            <w:tcW w:type="dxa" w:w="1234"/>
          </w:tcPr>
          <w:p>
            <w:r>
              <w:t>Faible</w:t>
            </w:r>
          </w:p>
        </w:tc>
        <w:tc>
          <w:tcPr>
            <w:tcW w:type="dxa" w:w="1234"/>
          </w:tcPr>
          <w:p>
            <w:r>
              <w:t>Faible</w:t>
            </w:r>
          </w:p>
        </w:tc>
      </w:tr>
      <w:tr>
        <w:tc>
          <w:tcPr>
            <w:tcW w:type="dxa" w:w="1234"/>
          </w:tcPr>
          <w:p>
            <w:r>
              <w:t>F-003</w:t>
            </w:r>
          </w:p>
        </w:tc>
        <w:tc>
          <w:tcPr>
            <w:tcW w:type="dxa" w:w="1234"/>
          </w:tcPr>
          <w:p>
            <w:r>
              <w:t>AICompute Labs</w:t>
            </w:r>
          </w:p>
        </w:tc>
        <w:tc>
          <w:tcPr>
            <w:tcW w:type="dxa" w:w="1234"/>
          </w:tcPr>
          <w:p>
            <w:r>
              <w:t>Élevé</w:t>
            </w:r>
          </w:p>
        </w:tc>
        <w:tc>
          <w:tcPr>
            <w:tcW w:type="dxa" w:w="1234"/>
          </w:tcPr>
          <w:p>
            <w:r>
              <w:t>Moyen</w:t>
            </w:r>
          </w:p>
        </w:tc>
        <w:tc>
          <w:tcPr>
            <w:tcW w:type="dxa" w:w="1234"/>
          </w:tcPr>
          <w:p>
            <w:r>
              <w:t>Élevé</w:t>
            </w:r>
          </w:p>
        </w:tc>
        <w:tc>
          <w:tcPr>
            <w:tcW w:type="dxa" w:w="1234"/>
          </w:tcPr>
          <w:p>
            <w:r>
              <w:t>Moyen</w:t>
            </w:r>
          </w:p>
        </w:tc>
        <w:tc>
          <w:tcPr>
            <w:tcW w:type="dxa" w:w="1234"/>
          </w:tcPr>
          <w:p>
            <w:r>
              <w:t>Élevé</w:t>
            </w:r>
          </w:p>
        </w:tc>
      </w:tr>
      <w:tr>
        <w:tc>
          <w:tcPr>
            <w:tcW w:type="dxa" w:w="1234"/>
          </w:tcPr>
          <w:p>
            <w:r>
              <w:t>F-004</w:t>
            </w:r>
          </w:p>
        </w:tc>
        <w:tc>
          <w:tcPr>
            <w:tcW w:type="dxa" w:w="1234"/>
          </w:tcPr>
          <w:p>
            <w:r>
              <w:t>EcoPackaging Ltd</w:t>
            </w:r>
          </w:p>
        </w:tc>
        <w:tc>
          <w:tcPr>
            <w:tcW w:type="dxa" w:w="1234"/>
          </w:tcPr>
          <w:p>
            <w:r>
              <w:t>Faible</w:t>
            </w:r>
          </w:p>
        </w:tc>
        <w:tc>
          <w:tcPr>
            <w:tcW w:type="dxa" w:w="1234"/>
          </w:tcPr>
          <w:p>
            <w:r>
              <w:t>Faible</w:t>
            </w:r>
          </w:p>
        </w:tc>
        <w:tc>
          <w:tcPr>
            <w:tcW w:type="dxa" w:w="1234"/>
          </w:tcPr>
          <w:p>
            <w:r>
              <w:t>Faible</w:t>
            </w:r>
          </w:p>
        </w:tc>
        <w:tc>
          <w:tcPr>
            <w:tcW w:type="dxa" w:w="1234"/>
          </w:tcPr>
          <w:p>
            <w:r>
              <w:t>Faible</w:t>
            </w:r>
          </w:p>
        </w:tc>
        <w:tc>
          <w:tcPr>
            <w:tcW w:type="dxa" w:w="1234"/>
          </w:tcPr>
          <w:p>
            <w:r>
              <w:t>Faible</w:t>
            </w:r>
          </w:p>
        </w:tc>
      </w:tr>
      <w:tr>
        <w:tc>
          <w:tcPr>
            <w:tcW w:type="dxa" w:w="1234"/>
          </w:tcPr>
          <w:p>
            <w:r>
              <w:t>F-005</w:t>
            </w:r>
          </w:p>
        </w:tc>
        <w:tc>
          <w:tcPr>
            <w:tcW w:type="dxa" w:w="1234"/>
          </w:tcPr>
          <w:p>
            <w:r>
              <w:t>TechLegal Advisors</w:t>
            </w:r>
          </w:p>
        </w:tc>
        <w:tc>
          <w:tcPr>
            <w:tcW w:type="dxa" w:w="1234"/>
          </w:tcPr>
          <w:p>
            <w:r>
              <w:t>Faible</w:t>
            </w:r>
          </w:p>
        </w:tc>
        <w:tc>
          <w:tcPr>
            <w:tcW w:type="dxa" w:w="1234"/>
          </w:tcPr>
          <w:p>
            <w:r>
              <w:t>Faible</w:t>
            </w:r>
          </w:p>
        </w:tc>
        <w:tc>
          <w:tcPr>
            <w:tcW w:type="dxa" w:w="1234"/>
          </w:tcPr>
          <w:p>
            <w:r>
              <w:t>Moyen</w:t>
            </w:r>
          </w:p>
        </w:tc>
        <w:tc>
          <w:tcPr>
            <w:tcW w:type="dxa" w:w="1234"/>
          </w:tcPr>
          <w:p>
            <w:r>
              <w:t>Faible</w:t>
            </w:r>
          </w:p>
        </w:tc>
        <w:tc>
          <w:tcPr>
            <w:tcW w:type="dxa" w:w="1234"/>
          </w:tcPr>
          <w:p>
            <w:r>
              <w:t>Moyen</w:t>
            </w:r>
          </w:p>
        </w:tc>
      </w:tr>
    </w:tbl>
    <w:p>
      <w:pPr>
        <w:pStyle w:val="Heading2"/>
      </w:pPr>
      <w:r>
        <w:t>3. Matrice Criticité / Risque Résiduel</w:t>
      </w:r>
    </w:p>
    <w:p>
      <w:r>
        <w:t>La matrice suivante illustre la position de chaque fournisseur selon deux axes : criticité et niveau de risque résiduel.</w:t>
        <w:br/>
        <w:br/>
        <w:t>**Échelle de criticité** : Faible, Moyenne, Élevée</w:t>
        <w:br/>
        <w:t>**Échelle de risque résiduel** : Faible, Moyen, Élevé</w:t>
        <w:br/>
      </w:r>
    </w:p>
    <w:p>
      <w:r>
        <w:t>• **Zone 1 (Vert)** : Faible criticité / Faible risque — surveillance standard.</w:t>
        <w:br/>
        <w:t>• **Zone 2 (Jaune)** : Moyenne criticité / Moyen risque — suivi renforcé.</w:t>
        <w:br/>
        <w:t>• **Zone 3 (Orange)** : Criticité élevée / Risque moyen — audits réguliers et remédiations planifiées.</w:t>
        <w:br/>
        <w:t>• **Zone 4 (Rouge)** : Criticité élevée / Risque élevé — priorité absolue avec plan de mitigation immédiat.</w:t>
        <w:br/>
      </w:r>
    </w:p>
    <w:tbl>
      <w:tblPr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Fournisseur</w:t>
            </w:r>
          </w:p>
        </w:tc>
        <w:tc>
          <w:tcPr>
            <w:tcW w:type="dxa" w:w="2160"/>
          </w:tcPr>
          <w:p>
            <w:r>
              <w:t>Criticité</w:t>
            </w:r>
          </w:p>
        </w:tc>
        <w:tc>
          <w:tcPr>
            <w:tcW w:type="dxa" w:w="2160"/>
          </w:tcPr>
          <w:p>
            <w:r>
              <w:t>Risque Résiduel</w:t>
            </w:r>
          </w:p>
        </w:tc>
        <w:tc>
          <w:tcPr>
            <w:tcW w:type="dxa" w:w="2160"/>
          </w:tcPr>
          <w:p>
            <w:r>
              <w:t>Plan de Suivi</w:t>
            </w:r>
          </w:p>
        </w:tc>
      </w:tr>
      <w:tr>
        <w:tc>
          <w:tcPr>
            <w:tcW w:type="dxa" w:w="2160"/>
          </w:tcPr>
          <w:p>
            <w:r>
              <w:t>GreenSupply Asia</w:t>
            </w:r>
          </w:p>
        </w:tc>
        <w:tc>
          <w:tcPr>
            <w:tcW w:type="dxa" w:w="2160"/>
          </w:tcPr>
          <w:p>
            <w:r>
              <w:t>Élevée</w:t>
            </w:r>
          </w:p>
        </w:tc>
        <w:tc>
          <w:tcPr>
            <w:tcW w:type="dxa" w:w="2160"/>
          </w:tcPr>
          <w:p>
            <w:r>
              <w:t>Élevé</w:t>
            </w:r>
          </w:p>
        </w:tc>
        <w:tc>
          <w:tcPr>
            <w:tcW w:type="dxa" w:w="2160"/>
          </w:tcPr>
          <w:p>
            <w:r>
              <w:t>Audit trimestriel, plan de remédiation et suivi mensuel.</w:t>
            </w:r>
          </w:p>
        </w:tc>
      </w:tr>
      <w:tr>
        <w:tc>
          <w:tcPr>
            <w:tcW w:type="dxa" w:w="2160"/>
          </w:tcPr>
          <w:p>
            <w:r>
              <w:t>DataCloud Europe</w:t>
            </w:r>
          </w:p>
        </w:tc>
        <w:tc>
          <w:tcPr>
            <w:tcW w:type="dxa" w:w="2160"/>
          </w:tcPr>
          <w:p>
            <w:r>
              <w:t>Moyenne</w:t>
            </w:r>
          </w:p>
        </w:tc>
        <w:tc>
          <w:tcPr>
            <w:tcW w:type="dxa" w:w="2160"/>
          </w:tcPr>
          <w:p>
            <w:r>
              <w:t>Faible</w:t>
            </w:r>
          </w:p>
        </w:tc>
        <w:tc>
          <w:tcPr>
            <w:tcW w:type="dxa" w:w="2160"/>
          </w:tcPr>
          <w:p>
            <w:r>
              <w:t>Surveillance standard avec audit annuel.</w:t>
            </w:r>
          </w:p>
        </w:tc>
      </w:tr>
      <w:tr>
        <w:tc>
          <w:tcPr>
            <w:tcW w:type="dxa" w:w="2160"/>
          </w:tcPr>
          <w:p>
            <w:r>
              <w:t>AICompute Labs</w:t>
            </w:r>
          </w:p>
        </w:tc>
        <w:tc>
          <w:tcPr>
            <w:tcW w:type="dxa" w:w="2160"/>
          </w:tcPr>
          <w:p>
            <w:r>
              <w:t>Élevée</w:t>
            </w:r>
          </w:p>
        </w:tc>
        <w:tc>
          <w:tcPr>
            <w:tcW w:type="dxa" w:w="2160"/>
          </w:tcPr>
          <w:p>
            <w:r>
              <w:t>Élevé</w:t>
            </w:r>
          </w:p>
        </w:tc>
        <w:tc>
          <w:tcPr>
            <w:tcW w:type="dxa" w:w="2160"/>
          </w:tcPr>
          <w:p>
            <w:r>
              <w:t>Suivi quotidien, audit de cybersécurité renforcé.</w:t>
            </w:r>
          </w:p>
        </w:tc>
      </w:tr>
      <w:tr>
        <w:tc>
          <w:tcPr>
            <w:tcW w:type="dxa" w:w="2160"/>
          </w:tcPr>
          <w:p>
            <w:r>
              <w:t>EcoPackaging Ltd</w:t>
            </w:r>
          </w:p>
        </w:tc>
        <w:tc>
          <w:tcPr>
            <w:tcW w:type="dxa" w:w="2160"/>
          </w:tcPr>
          <w:p>
            <w:r>
              <w:t>Faible</w:t>
            </w:r>
          </w:p>
        </w:tc>
        <w:tc>
          <w:tcPr>
            <w:tcW w:type="dxa" w:w="2160"/>
          </w:tcPr>
          <w:p>
            <w:r>
              <w:t>Faible</w:t>
            </w:r>
          </w:p>
        </w:tc>
        <w:tc>
          <w:tcPr>
            <w:tcW w:type="dxa" w:w="2160"/>
          </w:tcPr>
          <w:p>
            <w:r>
              <w:t>Surveillance légère, audit biennal.</w:t>
            </w:r>
          </w:p>
        </w:tc>
      </w:tr>
      <w:tr>
        <w:tc>
          <w:tcPr>
            <w:tcW w:type="dxa" w:w="2160"/>
          </w:tcPr>
          <w:p>
            <w:r>
              <w:t>TechLegal Advisors</w:t>
            </w:r>
          </w:p>
        </w:tc>
        <w:tc>
          <w:tcPr>
            <w:tcW w:type="dxa" w:w="2160"/>
          </w:tcPr>
          <w:p>
            <w:r>
              <w:t>Moyenne</w:t>
            </w:r>
          </w:p>
        </w:tc>
        <w:tc>
          <w:tcPr>
            <w:tcW w:type="dxa" w:w="2160"/>
          </w:tcPr>
          <w:p>
            <w:r>
              <w:t>Moyen</w:t>
            </w:r>
          </w:p>
        </w:tc>
        <w:tc>
          <w:tcPr>
            <w:tcW w:type="dxa" w:w="2160"/>
          </w:tcPr>
          <w:p>
            <w:r>
              <w:t>Audit annuel et suivi contractuel renforcé.</w:t>
            </w:r>
          </w:p>
        </w:tc>
      </w:tr>
    </w:tbl>
    <w:p>
      <w:pPr>
        <w:pStyle w:val="Heading2"/>
      </w:pPr>
      <w:r>
        <w:t>4. Suivi et Automatisation</w:t>
      </w:r>
    </w:p>
    <w:p>
      <w:r>
        <w:t>• Tableaux de bord dynamiques sur ComplianceHub.ai pour visualiser les évolutions.</w:t>
        <w:br/>
        <w:t>• IA prédictive pour identifier les signaux faibles (cyber, ESG, réputation).</w:t>
        <w:br/>
        <w:t>• Alertes automatiques envoyées aux responsables métiers en cas de dérive.</w:t>
        <w:br/>
        <w:t>• Documentation des actions de remédiation et des résultats d’audit en temps réel.</w:t>
        <w:br/>
      </w:r>
    </w:p>
    <w:p>
      <w:pPr>
        <w:pStyle w:val="Heading2"/>
      </w:pPr>
      <w:r>
        <w:t>5. Amélioration Continue</w:t>
      </w:r>
    </w:p>
    <w:p>
      <w:r>
        <w:t>• Revue annuelle de la méthodologie de scoring des risques.</w:t>
        <w:br/>
        <w:t>• Mise à jour des critères selon les évolutions réglementaires et sectorielles.</w:t>
        <w:br/>
        <w:t>• Sessions de formation pour les équipes Achats, IT et Conformité.</w:t>
        <w:br/>
      </w:r>
    </w:p>
    <w:p>
      <w:pPr>
        <w:pStyle w:val="Heading2"/>
      </w:pPr>
      <w:r>
        <w:t>6. Annexes</w:t>
      </w:r>
    </w:p>
    <w:p>
      <w:r>
        <w:t>• Modèle de grille de scoring détaillée.</w:t>
        <w:br/>
        <w:t>• Historique des incidents critiques par fournisseur.</w:t>
        <w:br/>
        <w:t>• Benchmarks sectoriels et recommandations de l’OCDE.</w:t>
        <w:br/>
        <w:t>• Checklists pour audits sur site et audits documentaires.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