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Cartographie des Obligations (PR-01 + REG-01)</w:t>
      </w:r>
    </w:p>
    <w:p>
      <w:r>
        <w:t>Entreprise : OptiValue.ai</w:t>
        <w:br/>
        <w:t>Version : 1.0</w:t>
        <w:br/>
        <w:t>Date : 03/09/2025</w:t>
        <w:br/>
        <w:t>Auteur : Département Conformité &amp; Gouvernance</w:t>
        <w:br/>
        <w:br/>
      </w:r>
    </w:p>
    <w:p>
      <w:pPr>
        <w:pStyle w:val="Heading2"/>
      </w:pPr>
      <w:r>
        <w:t>Introduction</w:t>
      </w:r>
    </w:p>
    <w:p>
      <w:r>
        <w:t>Cette cartographie des obligations permet à OptiValue.ai de piloter ses exigences réglementaires, contractuelles et normatives dans un environnement complexe et évolutif. Elle s'appuie sur les meilleures pratiques (ISO 37301, ISO 31000, COSO ERM) et sur des outils avancés de monitoring réglementaire automatisé.</w:t>
        <w:br/>
        <w:br/>
        <w:t>Cette version couvre les obligations légales et normatives à date, mises à jour automatiquement par notre veille réglementaire.</w:t>
      </w:r>
    </w:p>
    <w:p>
      <w:pPr>
        <w:pStyle w:val="Heading2"/>
      </w:pPr>
      <w:r>
        <w:t>1. Processus PR-01 : Méthodologie de Cartographie</w:t>
      </w:r>
    </w:p>
    <w:p>
      <w:r>
        <w:t>La méthodologie de cartographie des obligations suit un processus rigoureux en 6 étapes :</w:t>
        <w:br/>
        <w:t>1. Identification des sources réglementaires et normatives (internationales, européennes, locales).</w:t>
        <w:br/>
        <w:t>2. Qualification de l'obligation (juridique, normative, contractuelle).</w:t>
        <w:br/>
        <w:t>3. Attribution d'un propriétaire opérationnel et d'un sponsor exécutif.</w:t>
        <w:br/>
        <w:t>4. Définition des contrôles associés, fréquence et preuves.</w:t>
        <w:br/>
        <w:t>5. Suivi continu via un tableau de bord automatisé.</w:t>
        <w:br/>
        <w:t>6. Mise à jour trimestrielle et validation en Comité Conformité.</w:t>
      </w:r>
    </w:p>
    <w:p>
      <w:pPr>
        <w:pStyle w:val="Heading2"/>
      </w:pPr>
      <w:r>
        <w:t>2. REG-01 : Registre des Obligations</w:t>
      </w:r>
    </w:p>
    <w:p>
      <w:r>
        <w:t>Le registre ci-dessous présente une vision consolidée et structurée des obligations clés d’OptiValue.ai.</w:t>
      </w:r>
    </w:p>
    <w:tbl>
      <w:tblPr>
        <w:tblW w:type="auto" w:w="0"/>
        <w:tblLook w:firstColumn="1" w:firstRow="1" w:lastColumn="0" w:lastRow="0" w:noHBand="0" w:noVBand="1" w:val="04A0"/>
      </w:tblPr>
      <w:tblGrid>
        <w:gridCol w:w="960"/>
        <w:gridCol w:w="960"/>
        <w:gridCol w:w="960"/>
        <w:gridCol w:w="960"/>
        <w:gridCol w:w="960"/>
        <w:gridCol w:w="960"/>
        <w:gridCol w:w="960"/>
        <w:gridCol w:w="960"/>
        <w:gridCol w:w="960"/>
      </w:tblGrid>
      <w:tr>
        <w:tc>
          <w:tcPr>
            <w:tcW w:type="dxa" w:w="960"/>
          </w:tcPr>
          <w:p>
            <w:r>
              <w:t>Réf</w:t>
            </w:r>
          </w:p>
        </w:tc>
        <w:tc>
          <w:tcPr>
            <w:tcW w:type="dxa" w:w="960"/>
          </w:tcPr>
          <w:p>
            <w:r>
              <w:t>Source</w:t>
            </w:r>
          </w:p>
        </w:tc>
        <w:tc>
          <w:tcPr>
            <w:tcW w:type="dxa" w:w="960"/>
          </w:tcPr>
          <w:p>
            <w:r>
              <w:t>Exigence</w:t>
            </w:r>
          </w:p>
        </w:tc>
        <w:tc>
          <w:tcPr>
            <w:tcW w:type="dxa" w:w="960"/>
          </w:tcPr>
          <w:p>
            <w:r>
              <w:t>Périmètre</w:t>
            </w:r>
          </w:p>
        </w:tc>
        <w:tc>
          <w:tcPr>
            <w:tcW w:type="dxa" w:w="960"/>
          </w:tcPr>
          <w:p>
            <w:r>
              <w:t>Propriétaire</w:t>
            </w:r>
          </w:p>
        </w:tc>
        <w:tc>
          <w:tcPr>
            <w:tcW w:type="dxa" w:w="960"/>
          </w:tcPr>
          <w:p>
            <w:r>
              <w:t>Contrôle lié</w:t>
            </w:r>
          </w:p>
        </w:tc>
        <w:tc>
          <w:tcPr>
            <w:tcW w:type="dxa" w:w="960"/>
          </w:tcPr>
          <w:p>
            <w:r>
              <w:t>Fréquence</w:t>
            </w:r>
          </w:p>
        </w:tc>
        <w:tc>
          <w:tcPr>
            <w:tcW w:type="dxa" w:w="960"/>
          </w:tcPr>
          <w:p>
            <w:r>
              <w:t>Preuves</w:t>
            </w:r>
          </w:p>
        </w:tc>
        <w:tc>
          <w:tcPr>
            <w:tcW w:type="dxa" w:w="960"/>
          </w:tcPr>
          <w:p>
            <w:r>
              <w:t>Statut</w:t>
            </w:r>
          </w:p>
        </w:tc>
      </w:tr>
      <w:tr>
        <w:tc>
          <w:tcPr>
            <w:tcW w:type="dxa" w:w="960"/>
          </w:tcPr>
          <w:p>
            <w:r>
              <w:t>OBL-001</w:t>
            </w:r>
          </w:p>
        </w:tc>
        <w:tc>
          <w:tcPr>
            <w:tcW w:type="dxa" w:w="960"/>
          </w:tcPr>
          <w:p>
            <w:r>
              <w:t>RGPD</w:t>
            </w:r>
          </w:p>
        </w:tc>
        <w:tc>
          <w:tcPr>
            <w:tcW w:type="dxa" w:w="960"/>
          </w:tcPr>
          <w:p>
            <w:r>
              <w:t>DPIA obligatoire pour tout traitement innovant</w:t>
            </w:r>
          </w:p>
        </w:tc>
        <w:tc>
          <w:tcPr>
            <w:tcW w:type="dxa" w:w="960"/>
          </w:tcPr>
          <w:p>
            <w:r>
              <w:t>Global</w:t>
            </w:r>
          </w:p>
        </w:tc>
        <w:tc>
          <w:tcPr>
            <w:tcW w:type="dxa" w:w="960"/>
          </w:tcPr>
          <w:p>
            <w:r>
              <w:t>DPO</w:t>
            </w:r>
          </w:p>
        </w:tc>
        <w:tc>
          <w:tcPr>
            <w:tcW w:type="dxa" w:w="960"/>
          </w:tcPr>
          <w:p>
            <w:r>
              <w:t>PR-DPIA</w:t>
            </w:r>
          </w:p>
        </w:tc>
        <w:tc>
          <w:tcPr>
            <w:tcW w:type="dxa" w:w="960"/>
          </w:tcPr>
          <w:p>
            <w:r>
              <w:t>Trimestrielle</w:t>
            </w:r>
          </w:p>
        </w:tc>
        <w:tc>
          <w:tcPr>
            <w:tcW w:type="dxa" w:w="960"/>
          </w:tcPr>
          <w:p>
            <w:r>
              <w:t>DPIA signés, rapports CNIL Advisor</w:t>
            </w:r>
          </w:p>
        </w:tc>
        <w:tc>
          <w:tcPr>
            <w:tcW w:type="dxa" w:w="960"/>
          </w:tcPr>
          <w:p>
            <w:r>
              <w:t>Conforme</w:t>
            </w:r>
          </w:p>
        </w:tc>
      </w:tr>
      <w:tr>
        <w:tc>
          <w:tcPr>
            <w:tcW w:type="dxa" w:w="960"/>
          </w:tcPr>
          <w:p>
            <w:r>
              <w:t>OBL-002</w:t>
            </w:r>
          </w:p>
        </w:tc>
        <w:tc>
          <w:tcPr>
            <w:tcW w:type="dxa" w:w="960"/>
          </w:tcPr>
          <w:p>
            <w:r>
              <w:t>AI Act</w:t>
            </w:r>
          </w:p>
        </w:tc>
        <w:tc>
          <w:tcPr>
            <w:tcW w:type="dxa" w:w="960"/>
          </w:tcPr>
          <w:p>
            <w:r>
              <w:t>Classification des IA et logs détaillés</w:t>
            </w:r>
          </w:p>
        </w:tc>
        <w:tc>
          <w:tcPr>
            <w:tcW w:type="dxa" w:w="960"/>
          </w:tcPr>
          <w:p>
            <w:r>
              <w:t>R&amp;D/Produits</w:t>
            </w:r>
          </w:p>
        </w:tc>
        <w:tc>
          <w:tcPr>
            <w:tcW w:type="dxa" w:w="960"/>
          </w:tcPr>
          <w:p>
            <w:r>
              <w:t>Responsable IA</w:t>
            </w:r>
          </w:p>
        </w:tc>
        <w:tc>
          <w:tcPr>
            <w:tcW w:type="dxa" w:w="960"/>
          </w:tcPr>
          <w:p>
            <w:r>
              <w:t>REG-IA</w:t>
            </w:r>
          </w:p>
        </w:tc>
        <w:tc>
          <w:tcPr>
            <w:tcW w:type="dxa" w:w="960"/>
          </w:tcPr>
          <w:p>
            <w:r>
              <w:t>Mensuelle</w:t>
            </w:r>
          </w:p>
        </w:tc>
        <w:tc>
          <w:tcPr>
            <w:tcW w:type="dxa" w:w="960"/>
          </w:tcPr>
          <w:p>
            <w:r>
              <w:t>Logs, rapports éthiques</w:t>
            </w:r>
          </w:p>
        </w:tc>
        <w:tc>
          <w:tcPr>
            <w:tcW w:type="dxa" w:w="960"/>
          </w:tcPr>
          <w:p>
            <w:r>
              <w:t>Conforme</w:t>
            </w:r>
          </w:p>
        </w:tc>
      </w:tr>
      <w:tr>
        <w:tc>
          <w:tcPr>
            <w:tcW w:type="dxa" w:w="960"/>
          </w:tcPr>
          <w:p>
            <w:r>
              <w:t>OBL-003</w:t>
            </w:r>
          </w:p>
        </w:tc>
        <w:tc>
          <w:tcPr>
            <w:tcW w:type="dxa" w:w="960"/>
          </w:tcPr>
          <w:p>
            <w:r>
              <w:t>DORA</w:t>
            </w:r>
          </w:p>
        </w:tc>
        <w:tc>
          <w:tcPr>
            <w:tcW w:type="dxa" w:w="960"/>
          </w:tcPr>
          <w:p>
            <w:r>
              <w:t>Gestion des fournisseurs critiques ICT</w:t>
            </w:r>
          </w:p>
        </w:tc>
        <w:tc>
          <w:tcPr>
            <w:tcW w:type="dxa" w:w="960"/>
          </w:tcPr>
          <w:p>
            <w:r>
              <w:t>IT/Cloud</w:t>
            </w:r>
          </w:p>
        </w:tc>
        <w:tc>
          <w:tcPr>
            <w:tcW w:type="dxa" w:w="960"/>
          </w:tcPr>
          <w:p>
            <w:r>
              <w:t>RSSI</w:t>
            </w:r>
          </w:p>
        </w:tc>
        <w:tc>
          <w:tcPr>
            <w:tcW w:type="dxa" w:w="960"/>
          </w:tcPr>
          <w:p>
            <w:r>
              <w:t>REG-ICT</w:t>
            </w:r>
          </w:p>
        </w:tc>
        <w:tc>
          <w:tcPr>
            <w:tcW w:type="dxa" w:w="960"/>
          </w:tcPr>
          <w:p>
            <w:r>
              <w:t>Trimestrielle</w:t>
            </w:r>
          </w:p>
        </w:tc>
        <w:tc>
          <w:tcPr>
            <w:tcW w:type="dxa" w:w="960"/>
          </w:tcPr>
          <w:p>
            <w:r>
              <w:t>RoI mis à jour</w:t>
            </w:r>
          </w:p>
        </w:tc>
        <w:tc>
          <w:tcPr>
            <w:tcW w:type="dxa" w:w="960"/>
          </w:tcPr>
          <w:p>
            <w:r>
              <w:t>Conforme</w:t>
            </w:r>
          </w:p>
        </w:tc>
      </w:tr>
      <w:tr>
        <w:tc>
          <w:tcPr>
            <w:tcW w:type="dxa" w:w="960"/>
          </w:tcPr>
          <w:p>
            <w:r>
              <w:t>OBL-004</w:t>
            </w:r>
          </w:p>
        </w:tc>
        <w:tc>
          <w:tcPr>
            <w:tcW w:type="dxa" w:w="960"/>
          </w:tcPr>
          <w:p>
            <w:r>
              <w:t>NIS2</w:t>
            </w:r>
          </w:p>
        </w:tc>
        <w:tc>
          <w:tcPr>
            <w:tcW w:type="dxa" w:w="960"/>
          </w:tcPr>
          <w:p>
            <w:r>
              <w:t>Plan de réponse aux incidents cyber</w:t>
            </w:r>
          </w:p>
        </w:tc>
        <w:tc>
          <w:tcPr>
            <w:tcW w:type="dxa" w:w="960"/>
          </w:tcPr>
          <w:p>
            <w:r>
              <w:t>Infrastructure</w:t>
            </w:r>
          </w:p>
        </w:tc>
        <w:tc>
          <w:tcPr>
            <w:tcW w:type="dxa" w:w="960"/>
          </w:tcPr>
          <w:p>
            <w:r>
              <w:t>CISO</w:t>
            </w:r>
          </w:p>
        </w:tc>
        <w:tc>
          <w:tcPr>
            <w:tcW w:type="dxa" w:w="960"/>
          </w:tcPr>
          <w:p>
            <w:r>
              <w:t>PR-Incidents</w:t>
            </w:r>
          </w:p>
        </w:tc>
        <w:tc>
          <w:tcPr>
            <w:tcW w:type="dxa" w:w="960"/>
          </w:tcPr>
          <w:p>
            <w:r>
              <w:t>Mensuelle</w:t>
            </w:r>
          </w:p>
        </w:tc>
        <w:tc>
          <w:tcPr>
            <w:tcW w:type="dxa" w:w="960"/>
          </w:tcPr>
          <w:p>
            <w:r>
              <w:t>Rapports SIEM, exercices table-top</w:t>
            </w:r>
          </w:p>
        </w:tc>
        <w:tc>
          <w:tcPr>
            <w:tcW w:type="dxa" w:w="960"/>
          </w:tcPr>
          <w:p>
            <w:r>
              <w:t>Conforme</w:t>
            </w:r>
          </w:p>
        </w:tc>
      </w:tr>
      <w:tr>
        <w:tc>
          <w:tcPr>
            <w:tcW w:type="dxa" w:w="960"/>
          </w:tcPr>
          <w:p>
            <w:r>
              <w:t>OBL-005</w:t>
            </w:r>
          </w:p>
        </w:tc>
        <w:tc>
          <w:tcPr>
            <w:tcW w:type="dxa" w:w="960"/>
          </w:tcPr>
          <w:p>
            <w:r>
              <w:t>CSRD</w:t>
            </w:r>
          </w:p>
        </w:tc>
        <w:tc>
          <w:tcPr>
            <w:tcW w:type="dxa" w:w="960"/>
          </w:tcPr>
          <w:p>
            <w:r>
              <w:t>Publication d’indicateurs ESG</w:t>
            </w:r>
          </w:p>
        </w:tc>
        <w:tc>
          <w:tcPr>
            <w:tcW w:type="dxa" w:w="960"/>
          </w:tcPr>
          <w:p>
            <w:r>
              <w:t>Finance/RSE</w:t>
            </w:r>
          </w:p>
        </w:tc>
        <w:tc>
          <w:tcPr>
            <w:tcW w:type="dxa" w:w="960"/>
          </w:tcPr>
          <w:p>
            <w:r>
              <w:t>Directeur ESG</w:t>
            </w:r>
          </w:p>
        </w:tc>
        <w:tc>
          <w:tcPr>
            <w:tcW w:type="dxa" w:w="960"/>
          </w:tcPr>
          <w:p>
            <w:r>
              <w:t>REG-ESG</w:t>
            </w:r>
          </w:p>
        </w:tc>
        <w:tc>
          <w:tcPr>
            <w:tcW w:type="dxa" w:w="960"/>
          </w:tcPr>
          <w:p>
            <w:r>
              <w:t>Annuel</w:t>
            </w:r>
          </w:p>
        </w:tc>
        <w:tc>
          <w:tcPr>
            <w:tcW w:type="dxa" w:w="960"/>
          </w:tcPr>
          <w:p>
            <w:r>
              <w:t>Rapport vérifié par auditeur externe</w:t>
            </w:r>
          </w:p>
        </w:tc>
        <w:tc>
          <w:tcPr>
            <w:tcW w:type="dxa" w:w="960"/>
          </w:tcPr>
          <w:p>
            <w:r>
              <w:t>En cours</w:t>
            </w:r>
          </w:p>
        </w:tc>
      </w:tr>
      <w:tr>
        <w:tc>
          <w:tcPr>
            <w:tcW w:type="dxa" w:w="960"/>
          </w:tcPr>
          <w:p>
            <w:r>
              <w:t>OBL-006</w:t>
            </w:r>
          </w:p>
        </w:tc>
        <w:tc>
          <w:tcPr>
            <w:tcW w:type="dxa" w:w="960"/>
          </w:tcPr>
          <w:p>
            <w:r>
              <w:t>ISO 27001</w:t>
            </w:r>
          </w:p>
        </w:tc>
        <w:tc>
          <w:tcPr>
            <w:tcW w:type="dxa" w:w="960"/>
          </w:tcPr>
          <w:p>
            <w:r>
              <w:t>ISMS avec contrôles opérationnels</w:t>
            </w:r>
          </w:p>
        </w:tc>
        <w:tc>
          <w:tcPr>
            <w:tcW w:type="dxa" w:w="960"/>
          </w:tcPr>
          <w:p>
            <w:r>
              <w:t>Global IT</w:t>
            </w:r>
          </w:p>
        </w:tc>
        <w:tc>
          <w:tcPr>
            <w:tcW w:type="dxa" w:w="960"/>
          </w:tcPr>
          <w:p>
            <w:r>
              <w:t>RSSI</w:t>
            </w:r>
          </w:p>
        </w:tc>
        <w:tc>
          <w:tcPr>
            <w:tcW w:type="dxa" w:w="960"/>
          </w:tcPr>
          <w:p>
            <w:r>
              <w:t>ISMS</w:t>
            </w:r>
          </w:p>
        </w:tc>
        <w:tc>
          <w:tcPr>
            <w:tcW w:type="dxa" w:w="960"/>
          </w:tcPr>
          <w:p>
            <w:r>
              <w:t>Annuel</w:t>
            </w:r>
          </w:p>
        </w:tc>
        <w:tc>
          <w:tcPr>
            <w:tcW w:type="dxa" w:w="960"/>
          </w:tcPr>
          <w:p>
            <w:r>
              <w:t>Rapport d’audit interne/externe</w:t>
            </w:r>
          </w:p>
        </w:tc>
        <w:tc>
          <w:tcPr>
            <w:tcW w:type="dxa" w:w="960"/>
          </w:tcPr>
          <w:p>
            <w:r>
              <w:t>Conforme</w:t>
            </w:r>
          </w:p>
        </w:tc>
      </w:tr>
      <w:tr>
        <w:tc>
          <w:tcPr>
            <w:tcW w:type="dxa" w:w="960"/>
          </w:tcPr>
          <w:p>
            <w:r>
              <w:t>OBL-007</w:t>
            </w:r>
          </w:p>
        </w:tc>
        <w:tc>
          <w:tcPr>
            <w:tcW w:type="dxa" w:w="960"/>
          </w:tcPr>
          <w:p>
            <w:r>
              <w:t>ISO 37301</w:t>
            </w:r>
          </w:p>
        </w:tc>
        <w:tc>
          <w:tcPr>
            <w:tcW w:type="dxa" w:w="960"/>
          </w:tcPr>
          <w:p>
            <w:r>
              <w:t>Système de gestion de la conformité</w:t>
            </w:r>
          </w:p>
        </w:tc>
        <w:tc>
          <w:tcPr>
            <w:tcW w:type="dxa" w:w="960"/>
          </w:tcPr>
          <w:p>
            <w:r>
              <w:t>Global</w:t>
            </w:r>
          </w:p>
        </w:tc>
        <w:tc>
          <w:tcPr>
            <w:tcW w:type="dxa" w:w="960"/>
          </w:tcPr>
          <w:p>
            <w:r>
              <w:t>CCO</w:t>
            </w:r>
          </w:p>
        </w:tc>
        <w:tc>
          <w:tcPr>
            <w:tcW w:type="dxa" w:w="960"/>
          </w:tcPr>
          <w:p>
            <w:r>
              <w:t>Programme Compliance</w:t>
            </w:r>
          </w:p>
        </w:tc>
        <w:tc>
          <w:tcPr>
            <w:tcW w:type="dxa" w:w="960"/>
          </w:tcPr>
          <w:p>
            <w:r>
              <w:t>Trimestriel</w:t>
            </w:r>
          </w:p>
        </w:tc>
        <w:tc>
          <w:tcPr>
            <w:tcW w:type="dxa" w:w="960"/>
          </w:tcPr>
          <w:p>
            <w:r>
              <w:t>Rapports de revue</w:t>
            </w:r>
          </w:p>
        </w:tc>
        <w:tc>
          <w:tcPr>
            <w:tcW w:type="dxa" w:w="960"/>
          </w:tcPr>
          <w:p>
            <w:r>
              <w:t>Conforme</w:t>
            </w:r>
          </w:p>
        </w:tc>
      </w:tr>
    </w:tbl>
    <w:p>
      <w:pPr>
        <w:pStyle w:val="Heading2"/>
      </w:pPr>
      <w:r>
        <w:t>3. Outils et Automatisation</w:t>
      </w:r>
    </w:p>
    <w:p>
      <w:r>
        <w:t>OptiValue.ai utilise un moteur IA interne, basé sur NLP et RPA, pour :</w:t>
        <w:br/>
        <w:t>• Monitorer en temps réel les évolutions réglementaires dans 32 juridictions.</w:t>
        <w:br/>
        <w:t>• Proposer automatiquement des mises à jour du registre.</w:t>
        <w:br/>
        <w:t>• Générer des alertes personnalisées en cas de changement législatif.</w:t>
        <w:br/>
        <w:t>• Intégrer les nouvelles obligations dans les workflows métiers.</w:t>
      </w:r>
    </w:p>
    <w:p>
      <w:pPr>
        <w:pStyle w:val="Heading2"/>
      </w:pPr>
      <w:r>
        <w:t>4. Gouvernance et Revue</w:t>
      </w:r>
    </w:p>
    <w:p>
      <w:r>
        <w:t>Le Comité Conformité se réunit mensuellement pour valider les modifications du registre et assurer un suivi des actions correctives. Un audit externe est organisé chaque semestre pour évaluer la robustesse du dispositif.</w:t>
      </w:r>
    </w:p>
    <w:p>
      <w:pPr>
        <w:pStyle w:val="Heading2"/>
      </w:pPr>
      <w:r>
        <w:t>Annexes</w:t>
      </w:r>
    </w:p>
    <w:p>
      <w:r>
        <w:t>• Organigramme du département Conformité.</w:t>
        <w:br/>
        <w:t>• Matrice de correspondance obligations/risques.</w:t>
        <w:br/>
        <w:t>• Méthodologie de scoring de criticité.</w:t>
        <w:br/>
        <w:t>• Exemples de tableaux de bord d'analyse.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