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Charte Éthique &amp; Conformité (POL-01)</w:t>
      </w:r>
    </w:p>
    <w:p>
      <w:r>
        <w:t>Entreprise : OptiValue.ai</w:t>
        <w:br/>
        <w:t>Version : 1.0</w:t>
        <w:br/>
        <w:t>Date : 03/09/2025</w:t>
        <w:br/>
        <w:t>Auteur : Département Conformité &amp; Éthique</w:t>
        <w:br/>
        <w:br/>
      </w:r>
    </w:p>
    <w:p>
      <w:pPr>
        <w:pStyle w:val="Heading2"/>
      </w:pPr>
      <w:r>
        <w:t>Préambule</w:t>
      </w:r>
    </w:p>
    <w:p>
      <w:r>
        <w:t>OptiValue.ai, leader mondial des solutions SaaS d'intelligence artificielle, s'engage à intégrer l'éthique et la conformité dans l'ensemble de ses activités. Cette charte définit les principes et engagements qui guident nos actions, garantissant une gouvernance transparente et responsable.</w:t>
      </w:r>
    </w:p>
    <w:p>
      <w:r>
        <w:br w:type="page"/>
      </w:r>
    </w:p>
    <w:p>
      <w:pPr>
        <w:pStyle w:val="Heading2"/>
      </w:pPr>
      <w:r>
        <w:t>1. Objectifs de la Charte</w:t>
      </w:r>
    </w:p>
    <w:p>
      <w:r>
        <w:t>• Établir un cadre clair et précis pour la conduite de nos activités.</w:t>
        <w:br/>
        <w:t>• Promouvoir une culture d'intégrité et de transparence.</w:t>
        <w:br/>
        <w:t>• Prévenir et détecter tout manquement réglementaire ou éthique.</w:t>
      </w:r>
    </w:p>
    <w:p>
      <w:r>
        <w:br w:type="page"/>
      </w:r>
    </w:p>
    <w:p>
      <w:pPr>
        <w:pStyle w:val="Heading2"/>
      </w:pPr>
      <w:r>
        <w:t>2. Cadre Légal et Normatif</w:t>
      </w:r>
    </w:p>
    <w:p>
      <w:r>
        <w:t>OptiValue.ai se conforme aux réglementations internationales : RGPD, AI Act, DORA, CSRD, ISO 37301, ISO 31000, ISO 27001 et aux recommandations OCDE.</w:t>
        <w:br/>
        <w:t>La charte s'applique à l'ensemble des filiales et partenaires stratégiques.</w:t>
      </w:r>
    </w:p>
    <w:p>
      <w:r>
        <w:br w:type="page"/>
      </w:r>
    </w:p>
    <w:p>
      <w:pPr>
        <w:pStyle w:val="Heading2"/>
      </w:pPr>
      <w:r>
        <w:t>3. Valeurs Fondamentales</w:t>
      </w:r>
    </w:p>
    <w:p>
      <w:r>
        <w:t>• Intégrité : Nous agissons avec honnêteté et transparence.</w:t>
        <w:br/>
        <w:t>• Responsabilité : Nous assumons nos impacts sur les utilisateurs, partenaires et la société.</w:t>
        <w:br/>
        <w:t>• Innovation Responsable : Chaque développement IA respecte des principes éthiques stricts.</w:t>
        <w:br/>
        <w:t>• Inclusion : Promotion de la diversité et de l’égalité des chances.</w:t>
      </w:r>
    </w:p>
    <w:p>
      <w:r>
        <w:br w:type="page"/>
      </w:r>
    </w:p>
    <w:p>
      <w:pPr>
        <w:pStyle w:val="Heading2"/>
      </w:pPr>
      <w:r>
        <w:t>4. Gouvernance</w:t>
      </w:r>
    </w:p>
    <w:p>
      <w:r>
        <w:t>La gouvernance de la conformité repose sur un Comité Éthique indépendant, présidé par le Chief Compliance Officer (CCO), avec un reporting direct au Conseil d'administration.</w:t>
        <w:br/>
        <w:t>Ce comité supervise les politiques, les audits internes et le suivi des indicateurs de conformité.</w:t>
      </w:r>
    </w:p>
    <w:p>
      <w:r>
        <w:br w:type="page"/>
      </w:r>
    </w:p>
    <w:p>
      <w:pPr>
        <w:pStyle w:val="Heading2"/>
      </w:pPr>
      <w:r>
        <w:t>5. Code de Conduite</w:t>
      </w:r>
    </w:p>
    <w:p>
      <w:r>
        <w:t>• Respect des lois et réglementations en vigueur.</w:t>
        <w:br/>
        <w:t>• Protection des données sensibles et des secrets industriels.</w:t>
        <w:br/>
        <w:t>• Interdiction absolue de la corruption et des conflits d'intérêts.</w:t>
        <w:br/>
        <w:t>• Engagement de neutralité et d'objectivité dans le développement des algorithmes.</w:t>
        <w:br/>
        <w:t>• Signalement obligatoire de tout comportement non conforme.</w:t>
      </w:r>
    </w:p>
    <w:p>
      <w:r>
        <w:br w:type="page"/>
      </w:r>
    </w:p>
    <w:p>
      <w:pPr>
        <w:pStyle w:val="Heading2"/>
      </w:pPr>
      <w:r>
        <w:t>6. Gestion des Conflits d'Intérêts</w:t>
      </w:r>
    </w:p>
    <w:p>
      <w:r>
        <w:t>Tous les collaborateurs doivent déclarer toute situation pouvant générer un conflit d'intérêt via le portail interne. Une évaluation est menée par le service Conformité pour valider les mesures de mitigation.</w:t>
      </w:r>
    </w:p>
    <w:p>
      <w:r>
        <w:br w:type="page"/>
      </w:r>
    </w:p>
    <w:p>
      <w:pPr>
        <w:pStyle w:val="Heading2"/>
      </w:pPr>
      <w:r>
        <w:t>7. Formation et Sensibilisation</w:t>
      </w:r>
    </w:p>
    <w:p>
      <w:r>
        <w:t>Un programme de formation annuel est obligatoire pour 100% des collaborateurs.</w:t>
        <w:br/>
        <w:t>Modules spécialisés : RGPD avancé, AI Act, éthique algorithmique, cybersécurité, ESG.</w:t>
      </w:r>
    </w:p>
    <w:p>
      <w:r>
        <w:br w:type="page"/>
      </w:r>
    </w:p>
    <w:p>
      <w:pPr>
        <w:pStyle w:val="Heading2"/>
      </w:pPr>
      <w:r>
        <w:t>8. Plan de Contrôle et Reporting</w:t>
      </w:r>
    </w:p>
    <w:p>
      <w:r>
        <w:t>Des audits internes trimestriels sont réalisés par le département Conformité avec des KPIs et KRIs actualisés.</w:t>
        <w:br/>
        <w:t>Des rapports détaillés sont transmis au comité exécutif et au Conseil d'administration.</w:t>
      </w:r>
    </w:p>
    <w:p>
      <w:r>
        <w:br w:type="page"/>
      </w:r>
    </w:p>
    <w:p>
      <w:pPr>
        <w:pStyle w:val="Heading2"/>
      </w:pPr>
      <w:r>
        <w:t>9. Sanctions et Mesures Correctives</w:t>
      </w:r>
    </w:p>
    <w:p>
      <w:r>
        <w:t>Tout manquement aux dispositions de la charte entraîne des mesures disciplinaires pouvant aller jusqu’au licenciement ou à des poursuites judiciaires.</w:t>
      </w:r>
    </w:p>
    <w:p>
      <w:r>
        <w:br w:type="page"/>
      </w:r>
    </w:p>
    <w:p>
      <w:pPr>
        <w:pStyle w:val="Heading2"/>
      </w:pPr>
      <w:r>
        <w:t>10. Suivi et Amélioration Continue</w:t>
      </w:r>
    </w:p>
    <w:p>
      <w:r>
        <w:t>OptiValue.ai s’engage à une amélioration continue de ses processus de conformité.</w:t>
        <w:br/>
        <w:t>Les retours des parties prenantes sont intégrés dans les mises à jour annuelles de la charte.</w:t>
      </w:r>
    </w:p>
    <w:p>
      <w:r>
        <w:br w:type="page"/>
      </w:r>
    </w:p>
    <w:p>
      <w:pPr>
        <w:pStyle w:val="Heading2"/>
      </w:pPr>
      <w:r>
        <w:t>Annexes</w:t>
      </w:r>
    </w:p>
    <w:p>
      <w:r>
        <w:t>• Organigramme de la gouvernance conformité</w:t>
        <w:br/>
        <w:t>• Matrice des risques éthiques</w:t>
        <w:br/>
        <w:t>• Indicateurs de performance et méthodologies d'audit</w:t>
        <w:br/>
        <w:t>• Modèle de rapport annuel de conformité</w:t>
        <w:br/>
        <w:t>• Procédure de signalement confidentiel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