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Reporting Conformité (KPI/KRI &amp; Tableaux de Bord)</w:t>
      </w:r>
    </w:p>
    <w:p>
      <w:r>
        <w:t>Entreprise : OptiValue.ai</w:t>
        <w:br/>
        <w:t>Version : 1.0</w:t>
        <w:br/>
        <w:t>Date : 03/09/2025</w:t>
        <w:br/>
        <w:t>Auteur : Département Conformité &amp; Gouvernance</w:t>
        <w:br/>
        <w:br/>
      </w:r>
    </w:p>
    <w:p>
      <w:pPr>
        <w:pStyle w:val="Heading2"/>
      </w:pPr>
      <w:r>
        <w:t>Introduction</w:t>
      </w:r>
    </w:p>
    <w:p>
      <w:r>
        <w:t>Le reporting de conformité d’OptiValue.ai fournit une vision claire et en temps réel de l’état de conformité au sein de l’organisation. Il alimente les organes de gouvernance, les régulateurs et les équipes opérationnelles pour garantir des décisions rapides et éclairées.</w:t>
      </w:r>
    </w:p>
    <w:p>
      <w:pPr>
        <w:pStyle w:val="Heading2"/>
      </w:pPr>
      <w:r>
        <w:t>1. Objectifs du Reporting</w:t>
      </w:r>
    </w:p>
    <w:p>
      <w:r>
        <w:t>• Suivi en continu des risques et contrôles.</w:t>
        <w:br/>
        <w:t>• Identification rapide des écarts de conformité.</w:t>
        <w:br/>
        <w:t>• Support à la prise de décision stratégique.</w:t>
        <w:br/>
        <w:t>• Communication transparente avec les parties prenantes internes et externes.</w:t>
      </w:r>
    </w:p>
    <w:p>
      <w:pPr>
        <w:pStyle w:val="Heading2"/>
      </w:pPr>
      <w:r>
        <w:t>2. Cadre Méthodologique</w:t>
      </w:r>
    </w:p>
    <w:p>
      <w:r>
        <w:t>Le reporting repose sur les standards ISO 37301, ISO 31000, ISO 27001, et l’intégration des exigences RGPD, AI Act, NIS2, DORA, et CSRD. Les données sont consolidées automatiquement grâce à la plateforme ComplianceHub.ai, dotée de capacités d’IA avancées.</w:t>
      </w:r>
    </w:p>
    <w:p>
      <w:pPr>
        <w:pStyle w:val="Heading2"/>
      </w:pPr>
      <w:r>
        <w:t>3. Indicateurs de Performance (KPI)</w:t>
      </w:r>
    </w:p>
    <w:p>
      <w:r>
        <w:t>• Taux de complétion des formations : **98%**.</w:t>
        <w:br/>
        <w:t>• Plans d’action réalisés dans les délais : **95%**.</w:t>
        <w:br/>
        <w:t>• Temps moyen de traitement des incidents : **&lt;24h**.</w:t>
        <w:br/>
        <w:t>• Respect des échéances réglementaires : **100%**.</w:t>
        <w:br/>
        <w:t>• Mise à jour des politiques : **100%**.</w:t>
      </w:r>
    </w:p>
    <w:p>
      <w:pPr>
        <w:pStyle w:val="Heading2"/>
      </w:pPr>
      <w:r>
        <w:t>4. Indicateurs de Risque (KRI)</w:t>
      </w:r>
    </w:p>
    <w:p>
      <w:r>
        <w:t>• Incidents critiques détectés : **0**.</w:t>
        <w:br/>
        <w:t>• Vulnérabilités critiques corrigées sous SLA : **100%**.</w:t>
        <w:br/>
        <w:t>• Risques résiduels critiques : **&lt;1%**.</w:t>
        <w:br/>
        <w:t>• Signalements en cours d’investigation : **2** (délai moyen 10 jours).</w:t>
      </w:r>
    </w:p>
    <w:p>
      <w:pPr>
        <w:pStyle w:val="Heading2"/>
      </w:pPr>
      <w:r>
        <w:t>5. Tableau de Bord Dynamique</w:t>
      </w:r>
    </w:p>
    <w:p>
      <w:r>
        <w:t>Le tableau de bord inclut :</w:t>
        <w:br/>
        <w:t>• Heatmaps par département.</w:t>
        <w:br/>
        <w:t>• Évolution trimestrielle des risques.</w:t>
        <w:br/>
        <w:t>• Statuts des plans d’action par réglementation.</w:t>
        <w:br/>
        <w:t>• Indicateurs en temps réel avec alertes automatiques.</w:t>
      </w:r>
    </w:p>
    <w:p>
      <w:pPr>
        <w:pStyle w:val="Heading2"/>
      </w:pPr>
      <w:r>
        <w:t>6. Processus de Revue</w:t>
      </w:r>
    </w:p>
    <w:p>
      <w:r>
        <w:t>• Revue mensuelle par les métiers.</w:t>
        <w:br/>
        <w:t>• Comité Conformité trimestriel.</w:t>
        <w:br/>
        <w:t>• Reporting annuel consolidé au Conseil d’Administration et publication ESG.</w:t>
      </w:r>
    </w:p>
    <w:p>
      <w:pPr>
        <w:pStyle w:val="Heading2"/>
      </w:pPr>
      <w:r>
        <w:t>7. Automatisation et Intelligence</w:t>
      </w:r>
    </w:p>
    <w:p>
      <w:r>
        <w:t>La plateforme ComplianceHub.ai permet :</w:t>
        <w:br/>
        <w:t>• Alertes prédictives sur les zones à risque.</w:t>
        <w:br/>
        <w:t>• Identification des anomalies.</w:t>
        <w:br/>
        <w:t>• Recommandations automatisées.</w:t>
        <w:br/>
        <w:t>• Export des tableaux de bord interactifs.</w:t>
      </w:r>
    </w:p>
    <w:p>
      <w:pPr>
        <w:pStyle w:val="Heading2"/>
      </w:pPr>
      <w:r>
        <w:t>8. Communication et Sensibilisation</w:t>
      </w:r>
    </w:p>
    <w:p>
      <w:r>
        <w:t>Les résultats sont diffusés :</w:t>
        <w:br/>
        <w:t>• Trimestriellement aux managers et directions.</w:t>
        <w:br/>
        <w:t>• Mensuellement dans les bulletins internes.</w:t>
        <w:br/>
        <w:t>• Annuellement via le rapport ESG.</w:t>
      </w:r>
    </w:p>
    <w:p>
      <w:pPr>
        <w:pStyle w:val="Heading2"/>
      </w:pPr>
      <w:r>
        <w:t>Annexes</w:t>
      </w:r>
    </w:p>
    <w:p>
      <w:r>
        <w:t>• Exemple de heatmap de risques.</w:t>
        <w:br/>
        <w:t>• Modèle de rapport trimestriel.</w:t>
        <w:br/>
        <w:t>• Check-list des indicateurs critiques.</w:t>
        <w:br/>
        <w:t>• Processus d’escalade en cas de dépassement des seuils.</w:t>
        <w:br/>
        <w:t>• Historique des mises à jour et des actions.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